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D12FA4" w:rsidRDefault="00F219A0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D0CCF" w14:textId="20DADFF6" w:rsidR="00A40D82" w:rsidRPr="00D12FA4" w:rsidRDefault="00A40D82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5808A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D12FA4" w:rsidRDefault="00A40D82" w:rsidP="005808AF">
      <w:pPr>
        <w:spacing w:line="276" w:lineRule="auto"/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167CD51B" w14:textId="77777777" w:rsidR="00C65FEF" w:rsidRPr="00D12FA4" w:rsidRDefault="00C65FEF" w:rsidP="005808AF">
      <w:pPr>
        <w:spacing w:line="276" w:lineRule="auto"/>
        <w:jc w:val="center"/>
        <w:rPr>
          <w:rFonts w:ascii="Open Sans Light" w:hAnsi="Open Sans Light" w:cs="Open Sans Light"/>
        </w:rPr>
      </w:pPr>
    </w:p>
    <w:p w14:paraId="7EF33073" w14:textId="2AD64699" w:rsidR="000912AE" w:rsidRPr="00D12FA4" w:rsidRDefault="00CB4842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D12FA4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059AF74B" w14:textId="2DDD72D9" w:rsidR="000E3530" w:rsidRPr="00D12FA4" w:rsidRDefault="000E3530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D12FA4">
        <w:rPr>
          <w:rFonts w:ascii="Open Sans Light" w:hAnsi="Open Sans Light" w:cs="Open Sans Light"/>
          <w:b/>
          <w:sz w:val="32"/>
          <w:szCs w:val="32"/>
        </w:rPr>
        <w:t>-</w:t>
      </w:r>
      <w:r w:rsidRPr="00D12FA4">
        <w:rPr>
          <w:rFonts w:ascii="Open Sans Light" w:hAnsi="Open Sans Light" w:cs="Open Sans Light"/>
          <w:b/>
          <w:sz w:val="32"/>
          <w:szCs w:val="32"/>
        </w:rPr>
        <w:t xml:space="preserve">ekonomiczna,                                             </w:t>
      </w:r>
      <w:r w:rsidR="005D0B89">
        <w:rPr>
          <w:rFonts w:ascii="Open Sans Light" w:hAnsi="Open Sans Light" w:cs="Open Sans Light"/>
          <w:b/>
          <w:sz w:val="32"/>
          <w:szCs w:val="32"/>
        </w:rPr>
        <w:t xml:space="preserve">              </w:t>
      </w:r>
      <w:r w:rsidRPr="00D12FA4">
        <w:rPr>
          <w:rFonts w:ascii="Open Sans Light" w:hAnsi="Open Sans Light" w:cs="Open Sans Light"/>
          <w:b/>
          <w:sz w:val="32"/>
          <w:szCs w:val="32"/>
        </w:rPr>
        <w:t>w tym analiza kosztów i korzyści</w:t>
      </w:r>
    </w:p>
    <w:p w14:paraId="23A448A5" w14:textId="77777777" w:rsidR="00C65FEF" w:rsidRPr="00D12FA4" w:rsidRDefault="00C65FEF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517FF0C8" w:rsidR="000912AE" w:rsidRPr="00D12FA4" w:rsidRDefault="00A14095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D12FA4" w:rsidRDefault="00A14095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636E9C7B" w14:textId="77777777" w:rsidR="00BC0FFB" w:rsidRDefault="00BC0FFB" w:rsidP="00BC0FF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2575F499" w14:textId="77777777" w:rsidR="00BC0FFB" w:rsidRPr="006556C8" w:rsidRDefault="00BC0FFB" w:rsidP="00BC0FF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39356A39" w14:textId="77777777" w:rsidR="00BC0FFB" w:rsidRPr="006556C8" w:rsidRDefault="00BC0FFB" w:rsidP="00BC0FFB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5138E1FA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</w:p>
    <w:p w14:paraId="0E42026C" w14:textId="77777777" w:rsidR="00BC0FFB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1563B178" w14:textId="77777777" w:rsidR="00BC0FFB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FENX.02.01-IW.01-001/23</w:t>
      </w:r>
    </w:p>
    <w:p w14:paraId="2C9BFFF8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</w:p>
    <w:p w14:paraId="77B7897C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7224352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87D8292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206F673" w14:textId="77777777" w:rsidR="00BC0FFB" w:rsidRDefault="00BC0FFB" w:rsidP="00BC0FFB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40298AB2" w14:textId="77777777" w:rsidR="00BC0FFB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14BA9E3E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</w:p>
    <w:p w14:paraId="56556040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245A6C24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3BF36257" w14:textId="77777777" w:rsidR="00BC0FFB" w:rsidRPr="00C2552A" w:rsidRDefault="00BC0FFB" w:rsidP="00BC0FF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3108577" w14:textId="77777777" w:rsidR="00BC0FFB" w:rsidRPr="00C2552A" w:rsidRDefault="00BC0FFB" w:rsidP="00BC0FF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4EA87BC0" w14:textId="73A3FFAC" w:rsidR="001B5B7B" w:rsidRDefault="001B5B7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44CB0" w14:textId="482B0564" w:rsidR="00BC0FFB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57A9868" w14:textId="77777777" w:rsidR="00BC0FFB" w:rsidRPr="00D12FA4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4282"/>
        <w:gridCol w:w="1417"/>
        <w:gridCol w:w="2725"/>
      </w:tblGrid>
      <w:tr w:rsidR="009B59BE" w:rsidRPr="005D0B89" w14:paraId="1EA5A329" w14:textId="77777777" w:rsidTr="00BC0FFB">
        <w:trPr>
          <w:trHeight w:val="560"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282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C8FD91" w14:textId="018B466F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BC0FFB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AB02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AB0298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725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5D0B8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12FA4" w:rsidRDefault="000C4571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5D0B89" w14:paraId="769DB40E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3AE174D" w14:textId="33929BCF" w:rsidR="001A289F" w:rsidRPr="00D12FA4" w:rsidRDefault="001A289F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4282" w:type="dxa"/>
            <w:vAlign w:val="center"/>
          </w:tcPr>
          <w:p w14:paraId="38C0C422" w14:textId="3F86A86E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417" w:type="dxa"/>
            <w:vAlign w:val="center"/>
          </w:tcPr>
          <w:p w14:paraId="56311A0D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34C14C6D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A289F" w:rsidRPr="005D0B89" w14:paraId="6DEDD28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12FA4" w:rsidRDefault="002875E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4282" w:type="dxa"/>
            <w:vAlign w:val="center"/>
          </w:tcPr>
          <w:p w14:paraId="5B57628E" w14:textId="0A69C549" w:rsidR="001A289F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417" w:type="dxa"/>
            <w:vAlign w:val="center"/>
          </w:tcPr>
          <w:p w14:paraId="426CC23E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6164AA80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5BC17D5C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4282" w:type="dxa"/>
            <w:vAlign w:val="center"/>
          </w:tcPr>
          <w:p w14:paraId="7FB4F630" w14:textId="74464819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w  tym dokumentacji technicznej, są spójne ?  </w:t>
            </w:r>
          </w:p>
        </w:tc>
        <w:tc>
          <w:tcPr>
            <w:tcW w:w="1417" w:type="dxa"/>
            <w:vAlign w:val="center"/>
          </w:tcPr>
          <w:p w14:paraId="5C558560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57EA8A1E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14:paraId="45CFF8E8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4282" w:type="dxa"/>
            <w:vAlign w:val="center"/>
          </w:tcPr>
          <w:p w14:paraId="279F723D" w14:textId="77777777" w:rsidR="00707AE0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  <w:p w14:paraId="5752FC26" w14:textId="6C556215" w:rsidR="00C724B7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65</w:t>
            </w:r>
          </w:p>
        </w:tc>
        <w:tc>
          <w:tcPr>
            <w:tcW w:w="1417" w:type="dxa"/>
            <w:vAlign w:val="center"/>
          </w:tcPr>
          <w:p w14:paraId="25A01493" w14:textId="77777777" w:rsidR="00C724B7" w:rsidRPr="00D12FA4" w:rsidRDefault="00C724B7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09420BEB" w14:textId="77777777" w:rsidR="00C724B7" w:rsidRPr="00D12FA4" w:rsidRDefault="00C724B7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:rsidDel="008A092E" w14:paraId="115E36F8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3868D6EB" w:rsidR="00C724B7" w:rsidRPr="00D12FA4" w:rsidDel="008A092E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4282" w:type="dxa"/>
            <w:vAlign w:val="center"/>
          </w:tcPr>
          <w:p w14:paraId="70E88146" w14:textId="07CA0380" w:rsidR="00DF1D02" w:rsidRPr="00D12FA4" w:rsidDel="008A092E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wnioskodawca wykazał, że zostanie zachowana trwałość projektu zgodnie z art. 65  rozporządzenia Parlamentu Europejskiego i Rady (UE) nr 2021/1060 z dnia 24 czerwca 2021 r.?</w:t>
            </w:r>
          </w:p>
        </w:tc>
        <w:tc>
          <w:tcPr>
            <w:tcW w:w="1417" w:type="dxa"/>
            <w:vAlign w:val="center"/>
          </w:tcPr>
          <w:p w14:paraId="22B44D99" w14:textId="77777777" w:rsidR="00C724B7" w:rsidRPr="00D12FA4" w:rsidDel="008A092E" w:rsidRDefault="00C724B7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7A11A119" w14:textId="77777777" w:rsidR="00C724B7" w:rsidRPr="00D12FA4" w:rsidDel="008A092E" w:rsidRDefault="00C724B7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7F8EB06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4282" w:type="dxa"/>
            <w:vAlign w:val="center"/>
          </w:tcPr>
          <w:p w14:paraId="0D7B5E28" w14:textId="77777777" w:rsidR="00C204D2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  <w:p w14:paraId="78B56E62" w14:textId="33BF3A22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1417" w:type="dxa"/>
            <w:vAlign w:val="center"/>
          </w:tcPr>
          <w:p w14:paraId="635892D8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58066260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80BF43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4282" w:type="dxa"/>
            <w:vAlign w:val="center"/>
          </w:tcPr>
          <w:p w14:paraId="7E5F7272" w14:textId="5F293BBD" w:rsidR="00707AE0" w:rsidRPr="00D12FA4" w:rsidRDefault="00C204D2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?</w:t>
            </w:r>
          </w:p>
          <w:p w14:paraId="2C205FDE" w14:textId="10620C44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3714CFF" w14:textId="0B320E92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wykazano dodatnie roczne saldo skumulowanych przepływów pieniężnych na koniec każdego roku, we wszystkich latach objętych analizą.</w:t>
            </w:r>
          </w:p>
          <w:p w14:paraId="0FD4C1BB" w14:textId="77777777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58D6072B" w14:textId="2E18FDFE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planowane wpływy (w tym z tytułu dofinansowania z funduszy UE) i wydatki zostały czasowo</w:t>
            </w:r>
          </w:p>
          <w:p w14:paraId="1C7D534A" w14:textId="25DDD710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finansową?</w:t>
            </w:r>
          </w:p>
          <w:p w14:paraId="50CD55ED" w14:textId="2EEADC72" w:rsidR="00C204D2" w:rsidRPr="00D12FA4" w:rsidRDefault="00C204D2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0664C1F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F83381A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4F34637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4282" w:type="dxa"/>
            <w:vAlign w:val="center"/>
          </w:tcPr>
          <w:p w14:paraId="09C75DF2" w14:textId="6DD3DB75" w:rsidR="00C204D2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1417" w:type="dxa"/>
            <w:vAlign w:val="center"/>
          </w:tcPr>
          <w:p w14:paraId="73EA3CD3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7C2C6BE6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24A9696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4282" w:type="dxa"/>
            <w:vAlign w:val="center"/>
          </w:tcPr>
          <w:p w14:paraId="732DCE66" w14:textId="69208DF8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studium wykonalności zostało sporządzone zgodnie z „Zakresem Studium wykonalności” stanowiącym załącznik do Instrukcji wypełniania wniosku o dofinansowanie?</w:t>
            </w:r>
          </w:p>
        </w:tc>
        <w:tc>
          <w:tcPr>
            <w:tcW w:w="1417" w:type="dxa"/>
            <w:vAlign w:val="center"/>
          </w:tcPr>
          <w:p w14:paraId="3F54221B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9AD33D0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462B1B8B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12.2</w:t>
            </w:r>
          </w:p>
        </w:tc>
        <w:tc>
          <w:tcPr>
            <w:tcW w:w="4282" w:type="dxa"/>
            <w:vAlign w:val="center"/>
          </w:tcPr>
          <w:p w14:paraId="3394ACA3" w14:textId="35AE10A4" w:rsidR="00707AE0" w:rsidRPr="00D12FA4" w:rsidRDefault="00707AE0" w:rsidP="00574C14">
            <w:pPr>
              <w:spacing w:line="276" w:lineRule="auto"/>
              <w:contextualSpacing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analiza finansowa została przeprowadzona zgodnie z Wytycznymi w zakresie zagadnień związanych z przygotowaniem projektów inwestycyjnych na lata 2021-2027 i z wymogami  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wskazanymi w Instrukcji wypełniania wniosku o dofinansowanie (tam gdzie dotyczy)</w:t>
            </w:r>
            <w:r w:rsidR="00962AF2">
              <w:rPr>
                <w:rFonts w:ascii="Open Sans Light" w:hAnsi="Open Sans Light" w:cs="Open Sans Light"/>
                <w:sz w:val="20"/>
                <w:szCs w:val="20"/>
              </w:rPr>
              <w:t xml:space="preserve"> oraz z </w:t>
            </w:r>
            <w:r w:rsidR="00962AF2" w:rsidRPr="00962AF2">
              <w:rPr>
                <w:rFonts w:ascii="Open Sans Light" w:hAnsi="Open Sans Light" w:cs="Open Sans Light"/>
                <w:sz w:val="20"/>
                <w:szCs w:val="20"/>
              </w:rPr>
              <w:t>Założeniami do analiz f</w:t>
            </w:r>
            <w:r w:rsidR="00574C14">
              <w:rPr>
                <w:rFonts w:ascii="Open Sans Light" w:hAnsi="Open Sans Light" w:cs="Open Sans Light"/>
                <w:sz w:val="20"/>
                <w:szCs w:val="20"/>
              </w:rPr>
              <w:t>inansowych dla działania FENX.02.01</w:t>
            </w:r>
            <w:r w:rsidR="00962AF2" w:rsidRPr="00962AF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574C14">
              <w:rPr>
                <w:rFonts w:ascii="Open Sans Light" w:hAnsi="Open Sans Light" w:cs="Open Sans Light"/>
                <w:sz w:val="20"/>
                <w:szCs w:val="20"/>
              </w:rPr>
              <w:t>Infrastruktura ciepłownicza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417" w:type="dxa"/>
            <w:vAlign w:val="center"/>
          </w:tcPr>
          <w:p w14:paraId="69AFB0C5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41D6151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35FCF21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07F246B1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574C1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4282" w:type="dxa"/>
            <w:vAlign w:val="center"/>
          </w:tcPr>
          <w:p w14:paraId="74D58029" w14:textId="4BC6B73E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wskaźniki efektywności finansowej i ekonomicznej (jeśli dotyczy) wyliczono zgodnie z Wytycznymi w zakresie zagadnień związanych z przygotowaniem projektów inwestycyjnych na lata 2021-2027?</w:t>
            </w:r>
          </w:p>
        </w:tc>
        <w:tc>
          <w:tcPr>
            <w:tcW w:w="1417" w:type="dxa"/>
            <w:vAlign w:val="center"/>
          </w:tcPr>
          <w:p w14:paraId="3DA2AACB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247EF801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65FEF" w:rsidRPr="005D0B89" w14:paraId="4C80582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ED72F7D" w14:textId="45DE383E" w:rsidR="00C65FEF" w:rsidRPr="00D12FA4" w:rsidRDefault="00574C14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12.4</w:t>
            </w:r>
          </w:p>
        </w:tc>
        <w:tc>
          <w:tcPr>
            <w:tcW w:w="4282" w:type="dxa"/>
            <w:vAlign w:val="center"/>
          </w:tcPr>
          <w:p w14:paraId="40458602" w14:textId="383D4D15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1417" w:type="dxa"/>
            <w:vAlign w:val="center"/>
          </w:tcPr>
          <w:p w14:paraId="4632CC06" w14:textId="77777777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25C9DF18" w14:textId="77777777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227AC521" w:rsidR="00B74CF0" w:rsidRPr="00D12FA4" w:rsidRDefault="00B74CF0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D12FA4">
        <w:rPr>
          <w:rFonts w:ascii="Open Sans Light" w:hAnsi="Open Sans Light" w:cs="Open Sans Light"/>
          <w:sz w:val="22"/>
          <w:szCs w:val="22"/>
        </w:rPr>
        <w:t>członka KOP: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5F6D8BC1" w:rsidR="005366EE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C</w:t>
      </w:r>
      <w:r w:rsidR="005366EE" w:rsidRPr="00D12FA4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ww. </w:t>
      </w:r>
      <w:r w:rsidRPr="00D12FA4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D12FA4">
        <w:rPr>
          <w:rFonts w:ascii="Open Sans Light" w:hAnsi="Open Sans Light" w:cs="Open Sans Light"/>
          <w:sz w:val="22"/>
          <w:szCs w:val="22"/>
        </w:rPr>
        <w:t>kryteria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 horyzontalne</w:t>
      </w:r>
      <w:r w:rsidR="00CB4842">
        <w:rPr>
          <w:rFonts w:ascii="Open Sans Light" w:hAnsi="Open Sans Light" w:cs="Open Sans Light"/>
          <w:sz w:val="22"/>
          <w:szCs w:val="22"/>
        </w:rPr>
        <w:t xml:space="preserve"> dla etapu</w:t>
      </w:r>
      <w:bookmarkStart w:id="0" w:name="_GoBack"/>
      <w:bookmarkEnd w:id="0"/>
      <w:r w:rsidRPr="00D12FA4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723"/>
        <w:gridCol w:w="709"/>
        <w:gridCol w:w="1257"/>
        <w:gridCol w:w="6378"/>
      </w:tblGrid>
      <w:tr w:rsidR="003F0506" w:rsidRPr="005D0B89" w14:paraId="646B1297" w14:textId="77777777" w:rsidTr="003F0506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2CC95C63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3F0506" w:rsidRPr="005D0B89" w14:paraId="755D118F" w14:textId="77777777" w:rsidTr="003F0506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87239EA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124BB5A" w14:textId="77777777" w:rsidR="00BC0FFB" w:rsidRPr="00C2552A" w:rsidRDefault="00BC0FFB" w:rsidP="00BC0FF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9340A0A" w14:textId="77777777" w:rsidR="00BC0FFB" w:rsidRPr="00C2552A" w:rsidRDefault="00BC0FFB" w:rsidP="00BC0FF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5C721120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F07E8CC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D7A8A5E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311AEABA" w14:textId="77777777" w:rsidR="00BC0FFB" w:rsidRPr="00C2552A" w:rsidRDefault="00BC0FFB" w:rsidP="00BC0FF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5E22F1E6" w14:textId="70ABAC59" w:rsidR="00813116" w:rsidRPr="00D12FA4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7DA6EAD4" w14:textId="77777777" w:rsidR="00CE2F63" w:rsidRPr="00D12FA4" w:rsidRDefault="00CE2F63" w:rsidP="005808A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D12FA4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E9184" w14:textId="77777777" w:rsidR="00FE3810" w:rsidRDefault="00FE3810" w:rsidP="0015303A">
      <w:r>
        <w:separator/>
      </w:r>
    </w:p>
  </w:endnote>
  <w:endnote w:type="continuationSeparator" w:id="0">
    <w:p w14:paraId="524C934E" w14:textId="77777777" w:rsidR="00FE3810" w:rsidRDefault="00FE3810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7DDAEACB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CB4842">
          <w:rPr>
            <w:rFonts w:ascii="Arial" w:hAnsi="Arial" w:cs="Arial"/>
            <w:noProof/>
            <w:sz w:val="22"/>
            <w:szCs w:val="22"/>
          </w:rPr>
          <w:t>3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0E8D9" w14:textId="77777777" w:rsidR="00FE3810" w:rsidRDefault="00FE3810" w:rsidP="0015303A">
      <w:r>
        <w:separator/>
      </w:r>
    </w:p>
  </w:footnote>
  <w:footnote w:type="continuationSeparator" w:id="0">
    <w:p w14:paraId="3593807C" w14:textId="77777777" w:rsidR="00FE3810" w:rsidRDefault="00FE3810" w:rsidP="0015303A">
      <w:r>
        <w:continuationSeparator/>
      </w:r>
    </w:p>
  </w:footnote>
  <w:footnote w:id="1">
    <w:p w14:paraId="17C8F799" w14:textId="2D863FFC" w:rsidR="00AB0298" w:rsidRDefault="00AB0298">
      <w:pPr>
        <w:pStyle w:val="Tekstprzypisudolnego"/>
      </w:pPr>
      <w:r>
        <w:rPr>
          <w:rStyle w:val="Odwoanieprzypisudolnego"/>
        </w:rPr>
        <w:footnoteRef/>
      </w:r>
      <w:r>
        <w:t xml:space="preserve"> Odpowiedź „Nie dotyc</w:t>
      </w:r>
      <w:r w:rsidR="0076007D">
        <w:t>zy” może być zastosowana</w:t>
      </w:r>
      <w:r>
        <w:t xml:space="preserve"> dla kryterium nr 7</w:t>
      </w:r>
      <w:r w:rsidR="0076007D">
        <w:t>, 11.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3530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57253"/>
    <w:rsid w:val="00265B3C"/>
    <w:rsid w:val="00267501"/>
    <w:rsid w:val="00271A9A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F0506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66EE"/>
    <w:rsid w:val="00536F86"/>
    <w:rsid w:val="00545E97"/>
    <w:rsid w:val="00572C38"/>
    <w:rsid w:val="00574C14"/>
    <w:rsid w:val="005808AF"/>
    <w:rsid w:val="0058413B"/>
    <w:rsid w:val="00586121"/>
    <w:rsid w:val="00596FA1"/>
    <w:rsid w:val="00597ECC"/>
    <w:rsid w:val="005A52D2"/>
    <w:rsid w:val="005D0B89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007D"/>
    <w:rsid w:val="00761031"/>
    <w:rsid w:val="0077697B"/>
    <w:rsid w:val="00791862"/>
    <w:rsid w:val="007A03FE"/>
    <w:rsid w:val="007A76D6"/>
    <w:rsid w:val="007E074D"/>
    <w:rsid w:val="007F4A6C"/>
    <w:rsid w:val="00802A07"/>
    <w:rsid w:val="008115D8"/>
    <w:rsid w:val="00813116"/>
    <w:rsid w:val="00814569"/>
    <w:rsid w:val="00830A68"/>
    <w:rsid w:val="008369E0"/>
    <w:rsid w:val="00840C65"/>
    <w:rsid w:val="00844250"/>
    <w:rsid w:val="008612D8"/>
    <w:rsid w:val="00881DC3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0298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C0FFB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B4842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E3810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0FF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0FF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D4E5A-A6EE-4A0F-9A0C-B3D2DB71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Mikuszewski Dawid</cp:lastModifiedBy>
  <cp:revision>22</cp:revision>
  <cp:lastPrinted>2016-04-11T09:12:00Z</cp:lastPrinted>
  <dcterms:created xsi:type="dcterms:W3CDTF">2023-09-18T10:08:00Z</dcterms:created>
  <dcterms:modified xsi:type="dcterms:W3CDTF">2023-11-29T11:42:00Z</dcterms:modified>
</cp:coreProperties>
</file>